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85</w:t>
      </w:r>
    </w:p>
    <w:p>
      <w:r>
        <w:t>Bundesgericht (BGE), 1995-01-01, FR</w:t>
      </w:r>
    </w:p>
    <w:p>
      <w:r>
        <w:rPr>
          <w:b/>
        </w:rPr>
        <w:t xml:space="preserve">Quelle: </w:t>
      </w:r>
      <w:r>
        <w:t>https://mcp.opencaselaw.ch/entscheid/bge_121 III 85</w:t>
      </w:r>
    </w:p>
    <w:p>
      <w:r>
        <w:t>FR: ATF 121 III 85</w:t>
      </w:r>
    </w:p>
    <w:p>
      <w:r>
        <w:t>IT: DTF 121 III 85</w:t>
      </w:r>
    </w:p>
    <w:p>
      <w:pPr>
        <w:pStyle w:val="Heading2"/>
      </w:pPr>
      <w:r>
        <w:t>Regeste</w:t>
      </w:r>
    </w:p>
    <w:p>
      <w:r>
        <w:t>Regeste Strafurteil, welches die Rückgabe eines gemäss Art. 58 StGB eingezogenen und beim kantonalen Abschleppdienst eingestellten Personenwagens an den Angeklagten anordnet. Verkauf des Wagens ohne Übergabe im Sinne von Art. 924 ZGB und Arrestnahme vor der Aufhebung der strafrechtlichen Beschlagnahme. Drittansprache durch den Käufer und den kantonalen Abschleppdienst, ohne dass die Rechte des letzteren bestritten werden. Parteirollenverteilung im Widerspruchsprozess gemäss Art. 106 ff. SchKG. Mangels Benachrichtigung vom Besitzesübergang (Art. 924 Abs. 2 ZGB), kann der Verwahrer - im vorliegenden Fall der kantonale Abschleppdienst - den Angeklagten und Schuldner als einzige Person betrachten, die nach Aufhebung der strafrechtlichen Beschlagnahme zur Entgegennahme oder Rücknahme des Wagens berechtigt ist. Insoweit er nicht in seinen eigenen Rechten betroffen ist, übt der Verwahrer nur für den Schuldner Besitz aus; demzufolge muss der Drittansprecher, im vorliegenden Fall also der Käufer, Widerspruchsklage im Sinne von Art. 107 SchKG einleiten (E. 2).</w:t>
      </w:r>
    </w:p>
    <w:p>
      <w:pPr>
        <w:pStyle w:val="Heading2"/>
      </w:pPr>
      <w:r>
        <w:t>Erwägungen</w:t>
      </w:r>
    </w:p>
    <w:p>
      <w:r>
        <w:rPr>
          <w:b/>
        </w:rPr>
        <w:t>E. 2</w:t>
      </w:r>
    </w:p>
    <w:p>
      <w:r>
        <w:t>Le recourant invoque une violation des règles sur la répartition des rôles entre les parties au procès de tierce opposition ( art. 106 ss LP ) lorsque le bien revendiqué se trouve en la possession du quart détenteur (cf. ATF 120 III 83 ). a) En pareil cas, le rôle des parties dépend de la question de savoir pour le compte de qui le détenteur possède: si c'est pour le compte exclusif du débiteur, il appartient au tiers revendiquant d'ouvrir action; si le quart détenteur possède pour son propre compte, ou conjointement avec le débiteur, ou encore pour le compte du tiers revendiquant et du débiteur, il incombe au créancier d'agir ( ATF 120 III 83 consid. 3a p. 85; GILLIÉRON, Poursuite pour dettes, faillite et concordat, 3e éd., Lausanne 1993, p. 211 et les références; FRITZSCHE/WALDER, Schuldbetreibung und Konkurs nach schweizerischem Recht, vol. I, 3e éd., Zurich 1984, § 26 n. 7). b) Il est établi qu'aux dates déterminantes, savoir les 16/17, 23 et 24 juin, le SAN détenait le véhicule litigieux à la suite du séquestre pénal opéré au préjudice du débiteur Y., la levée de cette mesure, décidée le 15 juin, n'étant formellement intervenue que le 13 juillet. Ce service exerçait donc alors, en qualité de dépositaire (YVONNE BERCHER, Le séquestre pénal, thèse Lausanne 1992, p. 160), la mainmise de l'Etat sur le bien séquestré en vue d'empêcher que son propriétaire ou son détenteur puisse en disposer ou en jouir (R. HAUSER, Kurzlehrbuch des schweizerischen Strafprozessrechts, 1978, p. 173; PHILIPPE DE GRAFFENRIED, Actes de la police judiciaire, thèse Lausanne 1981, p. 117). Le débiteur a néanmoins disposé de son véhicule en le vendant le 16 juin à l'étude du recourant, alors que l'arrêt du 15 juin ordonnant sa restitution n'était à l'évidence pas encore devenu définitif (cf. art. 321 et 338 ss CPP /GE). La question de la validité de cette vente n'a toutefois pas à être examinée ni tranchée ici. Quoi qu'il en soit de toute façon, lorsque la chose remise au dépositaire est vendue après coup, la situation au point de vue de la possession n'est pas modifiée par ce seul fait; elle ne l'est qu'à partir du moment où l'avis aux tiers prévu par l' art. 924 al. 2 CC a été donné (C. JÄGER, Commentaire de la LP, n. 2 ad art. 106, édition française p. 371 et les références). Or, selon la décision attaquée, le recourant n'a nullement allégué avoir informé le SAN du changement de propriétaire prétendument intervenu le 16 juin. Aussi est-ce à bon droit que l'autorité cantonale de surveillance a retenu que le débiteur apparaissait, vis-à-vis de ce service de l'Etat, comme étant la seule personne légitimée à prendre ou reprendre BGE 121 III 85 S. 88 la possession de la voiture dès la levée du séquestre pénal. Il est constant par ailleurs qu'il en était le détenteur officiel, la voiture étant toujours immatriculée à son nom (cf. ATF 80 III 25 consid. 2 p. 28). Aux dates en question, le SAN détenait par conséquent le véhicule litigieux pour le compte du débiteur. Certes, il le détenait aussi pour son propre compte puisqu'il revendiquait un droit de gage et de rétention sur ce bien. La jurisprudence admet cependant que, dans la mesure où ses droits ne sont pas en cause, le quart détenteur n'exerce la possession que pour le débiteur, lequel apparaît dès lors, vis-à-vis des créanciers poursuivants et de tiers revendiquants, comme étant, et lui seul, en possession de la chose; à cet égard, en effet, il ne partage pas la maîtrise avec le quart détenteur, mais il l'exerce par son entremise; d'où il suit qu'il y a lieu d'appliquer dans ce cas la procédure des art. 106 et 107 LP ( ATF 73 III 63 consid. 1 p. 66 et les références). Le droit de gage invoqué par le SAN n'ayant pas été contesté et n'étant ainsi nullement en cause, l'autorité cantonale de surveillance a correctement jugé, en application de la jurisprudence précitée, que le SAN possédait la voiture litigieuse pour le compte exclusif du débiteur et qu'il appartenait donc au tiers revendiquant, c'est-à-dire au recourant, d'intenter action pour faire reconnaître son droit au sens de l' art. 107 LP . Le recours doit par conséquent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